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E45" w:rsidRPr="00306277" w:rsidRDefault="00CF7E45" w:rsidP="00CF7E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Решения общих собраний участников (акционеров</w:t>
      </w:r>
      <w:r w:rsidR="008A58BD" w:rsidRPr="008A58BD">
        <w:rPr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5"/>
        <w:gridCol w:w="450"/>
        <w:gridCol w:w="294"/>
        <w:gridCol w:w="1323"/>
        <w:gridCol w:w="416"/>
        <w:gridCol w:w="308"/>
        <w:gridCol w:w="416"/>
        <w:gridCol w:w="184"/>
        <w:gridCol w:w="1808"/>
        <w:gridCol w:w="854"/>
        <w:gridCol w:w="2562"/>
        <w:gridCol w:w="145"/>
      </w:tblGrid>
      <w:tr w:rsidR="00CF7E45" w:rsidRPr="00743910" w:rsidTr="0044058D">
        <w:trPr>
          <w:cantSplit/>
          <w:trHeight w:val="251"/>
        </w:trPr>
        <w:tc>
          <w:tcPr>
            <w:tcW w:w="9995" w:type="dxa"/>
            <w:gridSpan w:val="12"/>
          </w:tcPr>
          <w:p w:rsidR="00CF7E45" w:rsidRPr="00743910" w:rsidRDefault="00CF7E45" w:rsidP="00831A8A">
            <w:pPr>
              <w:jc w:val="center"/>
              <w:rPr>
                <w:sz w:val="22"/>
                <w:szCs w:val="22"/>
              </w:rPr>
            </w:pPr>
            <w:r w:rsidRPr="00743910">
              <w:rPr>
                <w:sz w:val="22"/>
                <w:szCs w:val="22"/>
              </w:rPr>
              <w:t>1. Общие сведения</w:t>
            </w:r>
          </w:p>
        </w:tc>
      </w:tr>
      <w:tr w:rsidR="00CF7E45" w:rsidRPr="00743910" w:rsidTr="0044058D">
        <w:trPr>
          <w:trHeight w:val="740"/>
        </w:trPr>
        <w:tc>
          <w:tcPr>
            <w:tcW w:w="4626" w:type="dxa"/>
            <w:gridSpan w:val="8"/>
          </w:tcPr>
          <w:p w:rsidR="00CF7E45" w:rsidRPr="00743910" w:rsidRDefault="00CF7E45" w:rsidP="00831A8A">
            <w:pPr>
              <w:ind w:left="57" w:right="57"/>
              <w:jc w:val="both"/>
              <w:rPr>
                <w:sz w:val="22"/>
                <w:szCs w:val="22"/>
              </w:rPr>
            </w:pPr>
            <w:r w:rsidRPr="00743910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6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7E45" w:rsidRPr="00743910" w:rsidRDefault="00CF7E45" w:rsidP="00831A8A">
            <w:pPr>
              <w:pStyle w:val="OEM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r w:rsidRPr="0074391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оммерческий банк «Хлынов» (акционерное общество)</w:t>
            </w:r>
          </w:p>
        </w:tc>
      </w:tr>
      <w:tr w:rsidR="00CF7E45" w:rsidRPr="00743910" w:rsidTr="0044058D">
        <w:trPr>
          <w:trHeight w:val="503"/>
        </w:trPr>
        <w:tc>
          <w:tcPr>
            <w:tcW w:w="4626" w:type="dxa"/>
            <w:gridSpan w:val="8"/>
          </w:tcPr>
          <w:p w:rsidR="00CF7E45" w:rsidRPr="00743910" w:rsidRDefault="00CF7E45" w:rsidP="00831A8A">
            <w:pPr>
              <w:ind w:left="57" w:right="57"/>
              <w:jc w:val="both"/>
              <w:rPr>
                <w:sz w:val="22"/>
                <w:szCs w:val="22"/>
              </w:rPr>
            </w:pPr>
            <w:r w:rsidRPr="00743910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36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7E45" w:rsidRPr="00743910" w:rsidRDefault="00CF7E45" w:rsidP="00831A8A">
            <w:pPr>
              <w:pStyle w:val="OEM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74391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АО КБ «Хлынов»</w:t>
            </w:r>
          </w:p>
        </w:tc>
      </w:tr>
      <w:tr w:rsidR="00CF7E45" w:rsidRPr="00743910" w:rsidTr="0044058D">
        <w:trPr>
          <w:trHeight w:val="266"/>
        </w:trPr>
        <w:tc>
          <w:tcPr>
            <w:tcW w:w="4626" w:type="dxa"/>
            <w:gridSpan w:val="8"/>
          </w:tcPr>
          <w:p w:rsidR="00CF7E45" w:rsidRPr="00743910" w:rsidRDefault="00CF7E45" w:rsidP="00831A8A">
            <w:pPr>
              <w:ind w:left="57" w:right="57"/>
              <w:jc w:val="both"/>
              <w:rPr>
                <w:sz w:val="22"/>
                <w:szCs w:val="22"/>
              </w:rPr>
            </w:pPr>
            <w:r w:rsidRPr="00743910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6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7E45" w:rsidRPr="00743910" w:rsidRDefault="00CF7E45" w:rsidP="00831A8A">
            <w:pPr>
              <w:pStyle w:val="OEM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74391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610002, </w:t>
            </w:r>
            <w:r w:rsidR="0063171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Кировская область, </w:t>
            </w:r>
            <w:r w:rsidRPr="0074391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г.</w:t>
            </w:r>
            <w:r w:rsidR="00C824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4391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Киров, ул. У</w:t>
            </w:r>
            <w:r w:rsidR="0063171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спенская</w:t>
            </w:r>
            <w:r w:rsidRPr="0074391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="0063171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д. </w:t>
            </w:r>
            <w:r w:rsidRPr="0074391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40</w:t>
            </w:r>
          </w:p>
        </w:tc>
      </w:tr>
      <w:tr w:rsidR="00CF7E45" w:rsidRPr="00743910" w:rsidTr="0044058D">
        <w:trPr>
          <w:trHeight w:val="251"/>
        </w:trPr>
        <w:tc>
          <w:tcPr>
            <w:tcW w:w="4626" w:type="dxa"/>
            <w:gridSpan w:val="8"/>
          </w:tcPr>
          <w:p w:rsidR="00CF7E45" w:rsidRPr="00743910" w:rsidRDefault="00CF7E45" w:rsidP="00831A8A">
            <w:pPr>
              <w:ind w:left="57" w:right="57"/>
              <w:jc w:val="both"/>
              <w:rPr>
                <w:sz w:val="22"/>
                <w:szCs w:val="22"/>
              </w:rPr>
            </w:pPr>
            <w:r w:rsidRPr="00743910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6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7E45" w:rsidRPr="00743910" w:rsidRDefault="00CF7E45" w:rsidP="00831A8A">
            <w:pPr>
              <w:pStyle w:val="OEM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74391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1024300000042</w:t>
            </w:r>
          </w:p>
        </w:tc>
      </w:tr>
      <w:tr w:rsidR="00CF7E45" w:rsidRPr="00743910" w:rsidTr="0044058D">
        <w:trPr>
          <w:trHeight w:val="251"/>
        </w:trPr>
        <w:tc>
          <w:tcPr>
            <w:tcW w:w="4626" w:type="dxa"/>
            <w:gridSpan w:val="8"/>
          </w:tcPr>
          <w:p w:rsidR="00CF7E45" w:rsidRPr="00743910" w:rsidRDefault="00CF7E45" w:rsidP="00831A8A">
            <w:pPr>
              <w:ind w:left="57" w:right="57"/>
              <w:jc w:val="both"/>
              <w:rPr>
                <w:sz w:val="22"/>
                <w:szCs w:val="22"/>
              </w:rPr>
            </w:pPr>
            <w:r w:rsidRPr="00743910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6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7E45" w:rsidRPr="00743910" w:rsidRDefault="00CF7E45" w:rsidP="00831A8A">
            <w:pPr>
              <w:pStyle w:val="OEM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74391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4346013603</w:t>
            </w:r>
          </w:p>
        </w:tc>
      </w:tr>
      <w:tr w:rsidR="00CF7E45" w:rsidRPr="00743910" w:rsidTr="0044058D">
        <w:trPr>
          <w:trHeight w:val="503"/>
        </w:trPr>
        <w:tc>
          <w:tcPr>
            <w:tcW w:w="4626" w:type="dxa"/>
            <w:gridSpan w:val="8"/>
          </w:tcPr>
          <w:p w:rsidR="00CF7E45" w:rsidRPr="00743910" w:rsidRDefault="00CF7E45" w:rsidP="00831A8A">
            <w:pPr>
              <w:ind w:left="57" w:right="57"/>
              <w:jc w:val="both"/>
              <w:rPr>
                <w:sz w:val="22"/>
                <w:szCs w:val="22"/>
              </w:rPr>
            </w:pPr>
            <w:r w:rsidRPr="00743910">
              <w:rPr>
                <w:sz w:val="22"/>
                <w:szCs w:val="22"/>
              </w:rPr>
              <w:t>1.6.</w:t>
            </w:r>
            <w:r w:rsidRPr="00743910">
              <w:rPr>
                <w:sz w:val="22"/>
                <w:szCs w:val="22"/>
                <w:lang w:val="en-US"/>
              </w:rPr>
              <w:t> </w:t>
            </w:r>
            <w:r w:rsidRPr="00743910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536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7E45" w:rsidRPr="00743910" w:rsidRDefault="00CF7E45" w:rsidP="00831A8A">
            <w:pPr>
              <w:pStyle w:val="OEM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74391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00254В</w:t>
            </w:r>
          </w:p>
        </w:tc>
      </w:tr>
      <w:tr w:rsidR="00CF7E45" w:rsidRPr="00743910" w:rsidTr="0044058D">
        <w:trPr>
          <w:trHeight w:val="754"/>
        </w:trPr>
        <w:tc>
          <w:tcPr>
            <w:tcW w:w="4626" w:type="dxa"/>
            <w:gridSpan w:val="8"/>
          </w:tcPr>
          <w:p w:rsidR="00CF7E45" w:rsidRPr="00743910" w:rsidRDefault="00CF7E45" w:rsidP="00831A8A">
            <w:pPr>
              <w:ind w:left="57" w:right="57"/>
              <w:jc w:val="both"/>
              <w:rPr>
                <w:sz w:val="22"/>
                <w:szCs w:val="22"/>
              </w:rPr>
            </w:pPr>
            <w:r w:rsidRPr="00743910">
              <w:rPr>
                <w:sz w:val="22"/>
                <w:szCs w:val="22"/>
              </w:rPr>
              <w:t>1.7.</w:t>
            </w:r>
            <w:r w:rsidRPr="00743910">
              <w:rPr>
                <w:sz w:val="22"/>
                <w:szCs w:val="22"/>
                <w:lang w:val="en-US"/>
              </w:rPr>
              <w:t> </w:t>
            </w:r>
            <w:r w:rsidRPr="00743910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36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7E45" w:rsidRPr="00D971E5" w:rsidRDefault="00CF7E45" w:rsidP="00831A8A">
            <w:pPr>
              <w:pStyle w:val="OEM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D971E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http://www.e-disclosure.ru/portal/company.aspx?i</w:t>
            </w:r>
            <w:r w:rsidRPr="00D971E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d</w:t>
            </w:r>
            <w:r w:rsidRPr="00D971E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=1748</w:t>
            </w:r>
          </w:p>
        </w:tc>
      </w:tr>
      <w:tr w:rsidR="00CF7E45" w:rsidRPr="004832B0" w:rsidTr="0044058D">
        <w:trPr>
          <w:cantSplit/>
          <w:trHeight w:val="8969"/>
        </w:trPr>
        <w:tc>
          <w:tcPr>
            <w:tcW w:w="9995" w:type="dxa"/>
            <w:gridSpan w:val="12"/>
          </w:tcPr>
          <w:p w:rsidR="00631719" w:rsidRPr="004832B0" w:rsidRDefault="00631719" w:rsidP="00631719">
            <w:pPr>
              <w:jc w:val="center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lastRenderedPageBreak/>
              <w:t>2. Содержание сообщения</w:t>
            </w:r>
          </w:p>
          <w:p w:rsidR="00123604" w:rsidRPr="004832B0" w:rsidRDefault="00631719" w:rsidP="00631719">
            <w:pPr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2.1 Вид общего собрания акционеров эмитента: внеочередное.</w:t>
            </w:r>
          </w:p>
          <w:p w:rsidR="00123604" w:rsidRPr="004832B0" w:rsidRDefault="00631719" w:rsidP="0063171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2.2 Способ принятия решений общим собранием акционеров: заседание.</w:t>
            </w:r>
          </w:p>
          <w:p w:rsidR="00123604" w:rsidRPr="004832B0" w:rsidRDefault="00631719" w:rsidP="0063171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2.3 Дата и время проведения заседания: 19 декабря 2025 года в 14 часов 30 минут.</w:t>
            </w:r>
          </w:p>
          <w:p w:rsidR="00123604" w:rsidRPr="004832B0" w:rsidRDefault="00631719" w:rsidP="0063171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2.4 Время начала регистрации лиц, участвующих в заседании: 14 часов 00 минут.</w:t>
            </w:r>
          </w:p>
          <w:p w:rsidR="00123604" w:rsidRPr="004832B0" w:rsidRDefault="00631719" w:rsidP="0063171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2.5 Место проведения заседания: Кировская область, г. Киров, ул. Успенская, дом 40, 3 этаж, зал заседаний.</w:t>
            </w:r>
            <w:r w:rsidRPr="004832B0">
              <w:rPr>
                <w:sz w:val="22"/>
                <w:szCs w:val="22"/>
              </w:rPr>
              <w:br/>
              <w:t>2.6. Дата составления списка лиц, имеющих право на участие в общем собрании акционеров: 29 октября 2025 г.</w:t>
            </w:r>
          </w:p>
          <w:p w:rsidR="00123604" w:rsidRPr="004832B0" w:rsidRDefault="00631719" w:rsidP="00631719">
            <w:pPr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2.7. Кворум общего собрания участников (акционеров) эмитента: кворум имеется, собрание правомочно по каждому вопросу повестки дня.</w:t>
            </w:r>
          </w:p>
          <w:p w:rsidR="00631719" w:rsidRPr="004832B0" w:rsidRDefault="00631719" w:rsidP="00631719">
            <w:pPr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2.8. Повестка дня общего собрания акционеров:</w:t>
            </w:r>
          </w:p>
          <w:p w:rsidR="00631719" w:rsidRPr="004832B0" w:rsidRDefault="00631719" w:rsidP="0063171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 xml:space="preserve">1. О досрочном прекращении полномочий всех членов совета директоров АО КБ «Хлынов». </w:t>
            </w:r>
          </w:p>
          <w:p w:rsidR="00631719" w:rsidRPr="004832B0" w:rsidRDefault="00631719" w:rsidP="0063171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2. Об избрании членов совета директоров АО КБ «Хлынов».</w:t>
            </w:r>
          </w:p>
          <w:p w:rsidR="00631719" w:rsidRPr="004832B0" w:rsidRDefault="00631719" w:rsidP="0063171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3. Об утверждении Устава коммерческого банка «Хлынов» (акционерное общество) АО КБ «Хлынов».</w:t>
            </w:r>
          </w:p>
          <w:p w:rsidR="00631719" w:rsidRPr="004832B0" w:rsidRDefault="00631719" w:rsidP="00631719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4832B0">
              <w:rPr>
                <w:bCs/>
                <w:sz w:val="22"/>
                <w:szCs w:val="22"/>
              </w:rPr>
              <w:t>4. Об утверждении П</w:t>
            </w:r>
            <w:r w:rsidRPr="004832B0">
              <w:rPr>
                <w:sz w:val="22"/>
                <w:szCs w:val="22"/>
              </w:rPr>
              <w:t>оложения о счетной комиссии коммерческого банка «Хлынов» (акционерное общество) (редакция 3).</w:t>
            </w:r>
          </w:p>
          <w:p w:rsidR="00631719" w:rsidRPr="004832B0" w:rsidRDefault="00631719" w:rsidP="00631719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2.9. Результаты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 эмитента по указанным вопросам:</w:t>
            </w:r>
          </w:p>
          <w:p w:rsidR="00E45896" w:rsidRPr="004832B0" w:rsidRDefault="00E45896" w:rsidP="00631719">
            <w:pPr>
              <w:jc w:val="both"/>
              <w:rPr>
                <w:sz w:val="22"/>
                <w:szCs w:val="22"/>
              </w:rPr>
            </w:pPr>
          </w:p>
          <w:p w:rsidR="000830D9" w:rsidRPr="004832B0" w:rsidRDefault="000830D9" w:rsidP="000830D9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1.По первому вопросу повестки дня:</w:t>
            </w:r>
          </w:p>
          <w:p w:rsidR="000830D9" w:rsidRPr="004832B0" w:rsidRDefault="000830D9" w:rsidP="000830D9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Число голосов, отданных за вариант голосования «ЗА» - 12 046 652 (двенадцать миллионов сорок шесть тысяч шестьсот пятьдесят два) голоса, что составляет 100,00 % голосов от принявших участие в собрании.</w:t>
            </w:r>
          </w:p>
          <w:p w:rsidR="000830D9" w:rsidRPr="004832B0" w:rsidRDefault="000830D9" w:rsidP="000830D9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Число голосов, отданных за вариант голосования «ПРОТИВ» - 0 (ноль) голосов.</w:t>
            </w:r>
          </w:p>
          <w:p w:rsidR="000830D9" w:rsidRPr="004832B0" w:rsidRDefault="000830D9" w:rsidP="000830D9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Число голосов, отданных за вариант голосования «ВОЗДЕРЖАЛСЯ» - 0 (ноль) голосов.</w:t>
            </w:r>
          </w:p>
          <w:p w:rsidR="000830D9" w:rsidRPr="004832B0" w:rsidRDefault="000830D9" w:rsidP="000830D9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– 0 (ноль) голосов.</w:t>
            </w:r>
          </w:p>
          <w:p w:rsidR="000830D9" w:rsidRPr="004832B0" w:rsidRDefault="000830D9" w:rsidP="000830D9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Решение, принятое по первому вопросу повестки дня:</w:t>
            </w:r>
          </w:p>
          <w:p w:rsidR="000830D9" w:rsidRPr="004832B0" w:rsidRDefault="000830D9" w:rsidP="000830D9">
            <w:pPr>
              <w:adjustRightInd w:val="0"/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Досрочно прекратить полномочия всех членов совета директоров АО КБ «Хлынов».</w:t>
            </w:r>
          </w:p>
          <w:p w:rsidR="000830D9" w:rsidRPr="004832B0" w:rsidRDefault="000830D9" w:rsidP="000830D9">
            <w:pPr>
              <w:adjustRightInd w:val="0"/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Решение принято.</w:t>
            </w:r>
          </w:p>
          <w:p w:rsidR="000830D9" w:rsidRPr="004832B0" w:rsidRDefault="000830D9" w:rsidP="000830D9">
            <w:pPr>
              <w:jc w:val="both"/>
              <w:rPr>
                <w:i/>
                <w:sz w:val="22"/>
                <w:szCs w:val="22"/>
              </w:rPr>
            </w:pPr>
          </w:p>
          <w:p w:rsidR="000830D9" w:rsidRPr="004832B0" w:rsidRDefault="000830D9" w:rsidP="000830D9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2. По второму вопросу повестки дня:</w:t>
            </w:r>
          </w:p>
          <w:p w:rsidR="00123604" w:rsidRPr="004832B0" w:rsidRDefault="00123604" w:rsidP="00123604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Число голосов, отданных за вариант «ЗА» (распределение голосов по кандидатам):</w:t>
            </w:r>
          </w:p>
          <w:p w:rsidR="00123604" w:rsidRPr="004832B0" w:rsidRDefault="00123604" w:rsidP="00123604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1 – 12 046 652 (двенадцать миллионов сорок шесть тысяч шестьсот пятьдесят два) голоса;</w:t>
            </w:r>
          </w:p>
          <w:p w:rsidR="00123604" w:rsidRPr="004832B0" w:rsidRDefault="00123604" w:rsidP="00123604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2 – 12 046 652 (двенадцать миллионов сорок шесть тысяч шестьсот пятьдесят два) голоса;</w:t>
            </w:r>
          </w:p>
          <w:p w:rsidR="00123604" w:rsidRPr="004832B0" w:rsidRDefault="00123604" w:rsidP="00123604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3 – 12 046 652 (двенадцать миллионов сорок шесть тысяч шестьсот пятьдесят два) голоса;</w:t>
            </w:r>
          </w:p>
          <w:p w:rsidR="00123604" w:rsidRPr="004832B0" w:rsidRDefault="00123604" w:rsidP="00123604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4 – 12 046 652 (двенадцать миллионов сорок шесть тысяч шестьсот пятьдесят два) голоса;</w:t>
            </w:r>
          </w:p>
          <w:p w:rsidR="00123604" w:rsidRPr="004832B0" w:rsidRDefault="00123604" w:rsidP="00123604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5 – 12 046 652 (двенадцать миллионов сорок шесть тысяч шестьсот пятьдесят два) голоса;</w:t>
            </w:r>
          </w:p>
          <w:p w:rsidR="00123604" w:rsidRPr="004832B0" w:rsidRDefault="00123604" w:rsidP="00123604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Число голосов, отданных за вариант голосования «ПРОТИВ» - 0 (ноль) голосов.</w:t>
            </w:r>
          </w:p>
          <w:p w:rsidR="00123604" w:rsidRPr="004832B0" w:rsidRDefault="00123604" w:rsidP="00123604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Число голосов, отданных за вариант голосования «ВОЗДЕРЖАЛСЯ» - 0 (ноль) голосов.</w:t>
            </w:r>
          </w:p>
          <w:p w:rsidR="00123604" w:rsidRPr="004832B0" w:rsidRDefault="00123604" w:rsidP="00123604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– 0 (ноль) голосов.</w:t>
            </w:r>
          </w:p>
          <w:p w:rsidR="00123604" w:rsidRDefault="00123604" w:rsidP="00123604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kern w:val="0"/>
                <w:sz w:val="22"/>
                <w:szCs w:val="22"/>
              </w:rPr>
            </w:pPr>
            <w:r w:rsidRPr="004832B0">
              <w:rPr>
                <w:b w:val="0"/>
                <w:bCs w:val="0"/>
                <w:kern w:val="0"/>
                <w:sz w:val="22"/>
                <w:szCs w:val="22"/>
              </w:rPr>
              <w:t xml:space="preserve">Информация не раскрывается на основании абзаца 12 пункта 1 Постановления Правительства Российской Федерации от 04.07.2023г. N 1102 "Об особенностях раскрытия и предоставления информации, подлежащей раскрытию и (или) предоставлению в соответствии с требованиями Федерального закона "Об акционерных обществах" и Федерального закона "О рынке ценных бумаг" и Решения Совета директоров Банка России от 24.12.2024  "Решение Совета директоров Банка России об определении перечня информации кредитных организаций, иностранных банков, осуществляющих деятельность на территории Российской Федерации через свой филиал, </w:t>
            </w:r>
            <w:proofErr w:type="spellStart"/>
            <w:r w:rsidRPr="004832B0">
              <w:rPr>
                <w:b w:val="0"/>
                <w:bCs w:val="0"/>
                <w:kern w:val="0"/>
                <w:sz w:val="22"/>
                <w:szCs w:val="22"/>
              </w:rPr>
              <w:t>некредитных</w:t>
            </w:r>
            <w:proofErr w:type="spellEnd"/>
            <w:r w:rsidRPr="004832B0">
              <w:rPr>
                <w:b w:val="0"/>
                <w:bCs w:val="0"/>
                <w:kern w:val="0"/>
                <w:sz w:val="22"/>
                <w:szCs w:val="22"/>
              </w:rPr>
              <w:t xml:space="preserve"> финансовых организаций, а также лиц, оказывающих профессиональные услуги на финансовом рынке, субъектов национальной платежной системы, подлежащей раскрытию в соответствии с законодательством Российской Федерации или нормативными актами Банка России, которую кредитные организации, иностранные банки, осуществляющие деятельность на территории Российской Федерации через свой филиал, </w:t>
            </w:r>
            <w:proofErr w:type="spellStart"/>
            <w:r w:rsidRPr="004832B0">
              <w:rPr>
                <w:b w:val="0"/>
                <w:bCs w:val="0"/>
                <w:kern w:val="0"/>
                <w:sz w:val="22"/>
                <w:szCs w:val="22"/>
              </w:rPr>
              <w:t>некредитные</w:t>
            </w:r>
            <w:proofErr w:type="spellEnd"/>
            <w:r w:rsidRPr="004832B0">
              <w:rPr>
                <w:b w:val="0"/>
                <w:bCs w:val="0"/>
                <w:kern w:val="0"/>
                <w:sz w:val="22"/>
                <w:szCs w:val="22"/>
              </w:rPr>
              <w:t xml:space="preserve"> финансовые организации, а также лица, оказывающие профессиональные услуги на финансовом рынке, субъекты национальной платежной системы вправе не раскрывать с 1 января 2025 года до 31 декабря 2025 года включительно, и перечня информации, предусмотренной законодательством Российской Федерации или нормативными актами Банка России, которую Банк России не раскрывает на своем официальном </w:t>
            </w:r>
            <w:r w:rsidRPr="004832B0">
              <w:rPr>
                <w:b w:val="0"/>
                <w:bCs w:val="0"/>
                <w:kern w:val="0"/>
                <w:sz w:val="22"/>
                <w:szCs w:val="22"/>
              </w:rPr>
              <w:lastRenderedPageBreak/>
              <w:t>сайте в информационно-телекоммуникационной сети «Интернет» с 1 января 2025 года до 31 декабря 2025 года включительно».</w:t>
            </w:r>
          </w:p>
          <w:p w:rsidR="00C12E0E" w:rsidRDefault="00C12E0E" w:rsidP="00123604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Решение</w:t>
            </w:r>
            <w:r w:rsidR="00EF75E5">
              <w:rPr>
                <w:b w:val="0"/>
                <w:bCs w:val="0"/>
                <w:kern w:val="0"/>
                <w:sz w:val="22"/>
                <w:szCs w:val="22"/>
              </w:rPr>
              <w:t xml:space="preserve">, принятое </w:t>
            </w:r>
            <w:r>
              <w:rPr>
                <w:b w:val="0"/>
                <w:bCs w:val="0"/>
                <w:kern w:val="0"/>
                <w:sz w:val="22"/>
                <w:szCs w:val="22"/>
              </w:rPr>
              <w:t xml:space="preserve">по </w:t>
            </w:r>
            <w:r w:rsidR="00EF75E5">
              <w:rPr>
                <w:b w:val="0"/>
                <w:bCs w:val="0"/>
                <w:kern w:val="0"/>
                <w:sz w:val="22"/>
                <w:szCs w:val="22"/>
              </w:rPr>
              <w:t>второму вопросу повестки дня:</w:t>
            </w:r>
          </w:p>
          <w:p w:rsidR="00EF75E5" w:rsidRPr="004832B0" w:rsidRDefault="00EF75E5" w:rsidP="00123604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Избрать членов совета директоров АО КБ «Хлынов».</w:t>
            </w:r>
            <w:bookmarkStart w:id="0" w:name="_GoBack"/>
            <w:bookmarkEnd w:id="0"/>
          </w:p>
          <w:p w:rsidR="00123604" w:rsidRPr="004832B0" w:rsidRDefault="00123604" w:rsidP="00123604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4832B0">
              <w:rPr>
                <w:b w:val="0"/>
                <w:sz w:val="22"/>
                <w:szCs w:val="22"/>
              </w:rPr>
              <w:t>Решение принято.</w:t>
            </w:r>
          </w:p>
          <w:p w:rsidR="000830D9" w:rsidRPr="004832B0" w:rsidRDefault="000830D9" w:rsidP="000830D9">
            <w:pPr>
              <w:jc w:val="both"/>
              <w:rPr>
                <w:i/>
                <w:sz w:val="22"/>
                <w:szCs w:val="22"/>
              </w:rPr>
            </w:pPr>
          </w:p>
          <w:p w:rsidR="000830D9" w:rsidRPr="004832B0" w:rsidRDefault="000830D9" w:rsidP="000830D9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3. По третьему вопросу повестки дня:</w:t>
            </w:r>
          </w:p>
          <w:p w:rsidR="000830D9" w:rsidRPr="004832B0" w:rsidRDefault="000830D9" w:rsidP="000830D9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Число голосов, отданных за вариант голосования «ЗА» - 12 046 652 (двенадцать миллионов сорок шесть тысяч шестьсот пятьдесят два) голоса, что составляет 100,00 % голосов от принявших участие в собрании.</w:t>
            </w:r>
          </w:p>
          <w:p w:rsidR="000830D9" w:rsidRPr="004832B0" w:rsidRDefault="000830D9" w:rsidP="000830D9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Число голосов, отданных за вариант голосования «ПРОТИВ» - 0 (ноль) голосов.</w:t>
            </w:r>
          </w:p>
          <w:p w:rsidR="000830D9" w:rsidRPr="004832B0" w:rsidRDefault="000830D9" w:rsidP="000830D9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 xml:space="preserve">Число голосов, отданных за вариант голосования «ВОЗДЕРЖАЛСЯ» - 0 (ноль) голосов. </w:t>
            </w:r>
          </w:p>
          <w:p w:rsidR="000830D9" w:rsidRPr="004832B0" w:rsidRDefault="000830D9" w:rsidP="000830D9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– 0 (ноль) голосов.</w:t>
            </w:r>
          </w:p>
          <w:p w:rsidR="000830D9" w:rsidRPr="004832B0" w:rsidRDefault="000830D9" w:rsidP="000830D9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Решение, принятое по третьему вопросу повестки дня:</w:t>
            </w:r>
          </w:p>
          <w:p w:rsidR="00123604" w:rsidRPr="004832B0" w:rsidRDefault="00123604" w:rsidP="00123604">
            <w:pPr>
              <w:pStyle w:val="a7"/>
              <w:spacing w:line="276" w:lineRule="auto"/>
              <w:ind w:firstLine="0"/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Утвердить Устав коммерческого банка «Хлынов» (акционерное общество) АО КБ «Хлынов».</w:t>
            </w:r>
          </w:p>
          <w:p w:rsidR="000830D9" w:rsidRPr="004832B0" w:rsidRDefault="000830D9" w:rsidP="000830D9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Решение принято.</w:t>
            </w:r>
          </w:p>
          <w:p w:rsidR="000830D9" w:rsidRPr="004832B0" w:rsidRDefault="000830D9" w:rsidP="000830D9">
            <w:pPr>
              <w:jc w:val="both"/>
              <w:rPr>
                <w:i/>
                <w:sz w:val="22"/>
                <w:szCs w:val="22"/>
              </w:rPr>
            </w:pPr>
          </w:p>
          <w:p w:rsidR="000830D9" w:rsidRPr="004832B0" w:rsidRDefault="000830D9" w:rsidP="000830D9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4. По четвертому вопросу повестки дня:</w:t>
            </w:r>
          </w:p>
          <w:p w:rsidR="000830D9" w:rsidRPr="004832B0" w:rsidRDefault="000830D9" w:rsidP="000830D9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Число голосов, отданных за вариант голосования «ЗА» - 12 046 652 (двенадцать миллионов сорок шесть тысяч шестьсот пятьдесят два) голоса, что составляет 100,00 % голосов от принявших участие в собрании.</w:t>
            </w:r>
          </w:p>
          <w:p w:rsidR="000830D9" w:rsidRPr="004832B0" w:rsidRDefault="000830D9" w:rsidP="000830D9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Число голосов, отданных за вариант голосования «ПРОТИВ» - 0 (ноль) голосов.</w:t>
            </w:r>
          </w:p>
          <w:p w:rsidR="000830D9" w:rsidRPr="004832B0" w:rsidRDefault="000830D9" w:rsidP="000830D9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 xml:space="preserve">Число голосов, отданных за вариант голосования «ВОЗДЕРЖАЛСЯ» - 0 (ноль) голосов. </w:t>
            </w:r>
          </w:p>
          <w:p w:rsidR="000830D9" w:rsidRPr="004832B0" w:rsidRDefault="000830D9" w:rsidP="000830D9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– 0 (ноль) голосов.</w:t>
            </w:r>
          </w:p>
          <w:p w:rsidR="000830D9" w:rsidRPr="004832B0" w:rsidRDefault="000830D9" w:rsidP="000830D9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Решение, принятое по четвертому вопросу повестки дня:</w:t>
            </w:r>
          </w:p>
          <w:p w:rsidR="00123604" w:rsidRPr="004832B0" w:rsidRDefault="00123604" w:rsidP="00123604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Утвердить</w:t>
            </w:r>
            <w:r w:rsidRPr="004832B0">
              <w:rPr>
                <w:bCs/>
                <w:sz w:val="22"/>
                <w:szCs w:val="22"/>
              </w:rPr>
              <w:t xml:space="preserve"> П</w:t>
            </w:r>
            <w:r w:rsidRPr="004832B0">
              <w:rPr>
                <w:sz w:val="22"/>
                <w:szCs w:val="22"/>
              </w:rPr>
              <w:t>оложение о счетной комиссии коммерческого банка «Хлынов» (акционерное общество) (редакция 3).</w:t>
            </w:r>
          </w:p>
          <w:p w:rsidR="000830D9" w:rsidRPr="004832B0" w:rsidRDefault="000830D9" w:rsidP="000830D9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Решение принято.</w:t>
            </w:r>
          </w:p>
          <w:p w:rsidR="00123604" w:rsidRPr="004832B0" w:rsidRDefault="00123604" w:rsidP="000830D9">
            <w:pPr>
              <w:jc w:val="both"/>
              <w:rPr>
                <w:sz w:val="22"/>
                <w:szCs w:val="22"/>
              </w:rPr>
            </w:pPr>
          </w:p>
          <w:p w:rsidR="00B30C08" w:rsidRPr="004832B0" w:rsidRDefault="00B30C08" w:rsidP="00B30C08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2.</w:t>
            </w:r>
            <w:r w:rsidR="00E45896" w:rsidRPr="004832B0">
              <w:rPr>
                <w:sz w:val="22"/>
                <w:szCs w:val="22"/>
              </w:rPr>
              <w:t>10</w:t>
            </w:r>
            <w:r w:rsidRPr="004832B0">
              <w:rPr>
                <w:sz w:val="22"/>
                <w:szCs w:val="22"/>
              </w:rPr>
              <w:t>. Дата составления и номер протокола общего собрания акционеров эмитента: Протокол № 0</w:t>
            </w:r>
            <w:r w:rsidR="001B07E7" w:rsidRPr="004832B0">
              <w:rPr>
                <w:sz w:val="22"/>
                <w:szCs w:val="22"/>
              </w:rPr>
              <w:t>2</w:t>
            </w:r>
            <w:r w:rsidRPr="004832B0">
              <w:rPr>
                <w:sz w:val="22"/>
                <w:szCs w:val="22"/>
              </w:rPr>
              <w:t xml:space="preserve"> от </w:t>
            </w:r>
            <w:r w:rsidR="00E45896" w:rsidRPr="004832B0">
              <w:rPr>
                <w:sz w:val="22"/>
                <w:szCs w:val="22"/>
              </w:rPr>
              <w:t>22</w:t>
            </w:r>
            <w:r w:rsidRPr="004832B0">
              <w:rPr>
                <w:sz w:val="22"/>
                <w:szCs w:val="22"/>
              </w:rPr>
              <w:t xml:space="preserve"> </w:t>
            </w:r>
            <w:r w:rsidR="00987844" w:rsidRPr="004832B0">
              <w:rPr>
                <w:sz w:val="22"/>
                <w:szCs w:val="22"/>
              </w:rPr>
              <w:t>декабря</w:t>
            </w:r>
            <w:r w:rsidRPr="004832B0">
              <w:rPr>
                <w:sz w:val="22"/>
                <w:szCs w:val="22"/>
              </w:rPr>
              <w:t xml:space="preserve"> 202</w:t>
            </w:r>
            <w:r w:rsidR="00E45896" w:rsidRPr="004832B0">
              <w:rPr>
                <w:sz w:val="22"/>
                <w:szCs w:val="22"/>
              </w:rPr>
              <w:t>5</w:t>
            </w:r>
            <w:r w:rsidR="00CC3F26" w:rsidRPr="004832B0">
              <w:rPr>
                <w:sz w:val="22"/>
                <w:szCs w:val="22"/>
              </w:rPr>
              <w:t xml:space="preserve"> </w:t>
            </w:r>
            <w:r w:rsidRPr="004832B0">
              <w:rPr>
                <w:sz w:val="22"/>
                <w:szCs w:val="22"/>
              </w:rPr>
              <w:t>года.</w:t>
            </w:r>
          </w:p>
          <w:p w:rsidR="00E45896" w:rsidRPr="004832B0" w:rsidRDefault="00E45896" w:rsidP="00B30C08">
            <w:pPr>
              <w:jc w:val="both"/>
              <w:rPr>
                <w:sz w:val="22"/>
                <w:szCs w:val="22"/>
              </w:rPr>
            </w:pPr>
          </w:p>
          <w:p w:rsidR="00E45896" w:rsidRPr="004832B0" w:rsidRDefault="00B30C08" w:rsidP="00E45896">
            <w:pPr>
              <w:jc w:val="both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2.</w:t>
            </w:r>
            <w:r w:rsidR="00E45896" w:rsidRPr="004832B0">
              <w:rPr>
                <w:sz w:val="22"/>
                <w:szCs w:val="22"/>
              </w:rPr>
              <w:t>11</w:t>
            </w:r>
            <w:r w:rsidRPr="004832B0">
              <w:rPr>
                <w:sz w:val="22"/>
                <w:szCs w:val="22"/>
              </w:rPr>
              <w:t xml:space="preserve">. </w:t>
            </w:r>
            <w:r w:rsidR="00E45896" w:rsidRPr="004832B0">
              <w:rPr>
                <w:sz w:val="22"/>
                <w:szCs w:val="22"/>
              </w:rPr>
              <w:t xml:space="preserve">Идентификационные признаки акций, владельцы которых имеют право на участие в общем собрании акционеров эмитента: категории (типы) акций, владельцы которых имеют право голоса по всем вопросам повестки дня: акции обыкновенные, государственный регистрационный номер 10100254B от 20.01.1995, </w:t>
            </w:r>
            <w:r w:rsidR="00E45896" w:rsidRPr="004832B0">
              <w:rPr>
                <w:sz w:val="22"/>
                <w:szCs w:val="22"/>
                <w:lang w:val="en-US"/>
              </w:rPr>
              <w:t>ISIN </w:t>
            </w:r>
            <w:r w:rsidR="00E45896" w:rsidRPr="004832B0">
              <w:rPr>
                <w:sz w:val="22"/>
                <w:szCs w:val="22"/>
              </w:rPr>
              <w:t>RU000A0JPFB0.</w:t>
            </w:r>
          </w:p>
          <w:p w:rsidR="00B30C08" w:rsidRPr="004832B0" w:rsidRDefault="00B30C08" w:rsidP="005C6ABB">
            <w:pPr>
              <w:jc w:val="both"/>
              <w:rPr>
                <w:sz w:val="22"/>
                <w:szCs w:val="22"/>
              </w:rPr>
            </w:pPr>
          </w:p>
        </w:tc>
      </w:tr>
      <w:tr w:rsidR="00CF7E45" w:rsidRPr="004832B0" w:rsidTr="0044058D">
        <w:trPr>
          <w:cantSplit/>
          <w:trHeight w:val="360"/>
        </w:trPr>
        <w:tc>
          <w:tcPr>
            <w:tcW w:w="9995" w:type="dxa"/>
            <w:gridSpan w:val="12"/>
          </w:tcPr>
          <w:p w:rsidR="00CF7E45" w:rsidRPr="004832B0" w:rsidRDefault="00CF7E45" w:rsidP="00831A8A">
            <w:pPr>
              <w:rPr>
                <w:sz w:val="22"/>
                <w:szCs w:val="22"/>
              </w:rPr>
            </w:pPr>
          </w:p>
          <w:p w:rsidR="00CF7E45" w:rsidRPr="004832B0" w:rsidRDefault="00CF7E45" w:rsidP="00831A8A">
            <w:pPr>
              <w:jc w:val="center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3. Подпись</w:t>
            </w:r>
          </w:p>
        </w:tc>
      </w:tr>
      <w:tr w:rsidR="00CF7E45" w:rsidRPr="004832B0" w:rsidTr="00440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6"/>
        </w:trPr>
        <w:tc>
          <w:tcPr>
            <w:tcW w:w="444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F7E45" w:rsidRPr="004832B0" w:rsidRDefault="00CF7E45" w:rsidP="0029502A">
            <w:pPr>
              <w:ind w:left="57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 xml:space="preserve">  3.1. </w:t>
            </w:r>
            <w:r w:rsidR="00E45896" w:rsidRPr="004832B0">
              <w:rPr>
                <w:sz w:val="22"/>
                <w:szCs w:val="22"/>
              </w:rPr>
              <w:t>П</w:t>
            </w:r>
            <w:r w:rsidR="00071BBB" w:rsidRPr="004832B0">
              <w:rPr>
                <w:sz w:val="22"/>
                <w:szCs w:val="22"/>
              </w:rPr>
              <w:t>редседател</w:t>
            </w:r>
            <w:r w:rsidR="00E45896" w:rsidRPr="004832B0">
              <w:rPr>
                <w:sz w:val="22"/>
                <w:szCs w:val="22"/>
              </w:rPr>
              <w:t>ь</w:t>
            </w:r>
            <w:r w:rsidR="00071BBB" w:rsidRPr="004832B0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7E45" w:rsidRPr="004832B0" w:rsidRDefault="00CF7E45" w:rsidP="00831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7E45" w:rsidRPr="004832B0" w:rsidRDefault="00CF7E45" w:rsidP="00831A8A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7E45" w:rsidRPr="004832B0" w:rsidRDefault="00E45896" w:rsidP="00831A8A">
            <w:pPr>
              <w:jc w:val="center"/>
              <w:rPr>
                <w:sz w:val="22"/>
                <w:szCs w:val="22"/>
              </w:rPr>
            </w:pPr>
            <w:proofErr w:type="spellStart"/>
            <w:r w:rsidRPr="004832B0">
              <w:rPr>
                <w:sz w:val="22"/>
                <w:szCs w:val="22"/>
              </w:rPr>
              <w:t>И.П.Прозоров</w:t>
            </w:r>
            <w:proofErr w:type="spellEnd"/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F7E45" w:rsidRPr="004832B0" w:rsidRDefault="00CF7E45" w:rsidP="00831A8A">
            <w:pPr>
              <w:rPr>
                <w:sz w:val="22"/>
                <w:szCs w:val="22"/>
              </w:rPr>
            </w:pPr>
          </w:p>
        </w:tc>
      </w:tr>
      <w:tr w:rsidR="00CF7E45" w:rsidRPr="004832B0" w:rsidTr="00440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</w:trPr>
        <w:tc>
          <w:tcPr>
            <w:tcW w:w="44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7E45" w:rsidRPr="004832B0" w:rsidRDefault="00CF7E45" w:rsidP="00831A8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E45" w:rsidRPr="004832B0" w:rsidRDefault="00CF7E45" w:rsidP="00831A8A">
            <w:pPr>
              <w:jc w:val="center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(подпись)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CF7E45" w:rsidRPr="004832B0" w:rsidRDefault="00CF7E45" w:rsidP="00831A8A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:rsidR="00CF7E45" w:rsidRPr="004832B0" w:rsidRDefault="00CF7E45" w:rsidP="00831A8A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E45" w:rsidRPr="004832B0" w:rsidRDefault="00CF7E45" w:rsidP="00831A8A">
            <w:pPr>
              <w:rPr>
                <w:sz w:val="22"/>
                <w:szCs w:val="22"/>
              </w:rPr>
            </w:pPr>
          </w:p>
        </w:tc>
      </w:tr>
      <w:tr w:rsidR="00CF7E45" w:rsidRPr="004832B0" w:rsidTr="00440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1"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7E45" w:rsidRPr="004832B0" w:rsidRDefault="00CF7E45" w:rsidP="00831A8A">
            <w:pPr>
              <w:ind w:left="57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 xml:space="preserve">  3.2. Дата “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7E45" w:rsidRPr="004832B0" w:rsidRDefault="00E45896" w:rsidP="009A3B5F">
            <w:pPr>
              <w:jc w:val="center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22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7E45" w:rsidRPr="004832B0" w:rsidRDefault="00CF7E45" w:rsidP="00831A8A">
            <w:pPr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”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7E45" w:rsidRPr="004832B0" w:rsidRDefault="00071BBB" w:rsidP="007D3FF4">
            <w:pPr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декабря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7E45" w:rsidRPr="004832B0" w:rsidRDefault="00CF7E45" w:rsidP="00831A8A">
            <w:pPr>
              <w:jc w:val="right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20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7E45" w:rsidRPr="004832B0" w:rsidRDefault="0083617E" w:rsidP="008918B9">
            <w:pPr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2</w:t>
            </w:r>
            <w:r w:rsidR="00E45896" w:rsidRPr="004832B0">
              <w:rPr>
                <w:sz w:val="22"/>
                <w:szCs w:val="22"/>
              </w:rPr>
              <w:t>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7E45" w:rsidRPr="004832B0" w:rsidRDefault="00CF7E45" w:rsidP="00831A8A">
            <w:pPr>
              <w:ind w:left="57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г.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7E45" w:rsidRPr="004832B0" w:rsidRDefault="00CF7E45" w:rsidP="00831A8A">
            <w:pPr>
              <w:jc w:val="center"/>
              <w:rPr>
                <w:sz w:val="22"/>
                <w:szCs w:val="22"/>
              </w:rPr>
            </w:pPr>
            <w:r w:rsidRPr="004832B0">
              <w:rPr>
                <w:sz w:val="22"/>
                <w:szCs w:val="22"/>
              </w:rPr>
              <w:t>М.П.</w:t>
            </w:r>
          </w:p>
        </w:tc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7E45" w:rsidRPr="004832B0" w:rsidRDefault="00CF7E45" w:rsidP="00831A8A">
            <w:pPr>
              <w:rPr>
                <w:sz w:val="22"/>
                <w:szCs w:val="22"/>
              </w:rPr>
            </w:pPr>
          </w:p>
        </w:tc>
      </w:tr>
      <w:tr w:rsidR="00CF7E45" w:rsidRPr="004832B0" w:rsidTr="00440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1"/>
        </w:trPr>
        <w:tc>
          <w:tcPr>
            <w:tcW w:w="44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7E45" w:rsidRPr="004832B0" w:rsidRDefault="00CF7E45" w:rsidP="00831A8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E45" w:rsidRPr="004832B0" w:rsidRDefault="00CF7E45" w:rsidP="00831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E45" w:rsidRPr="004832B0" w:rsidRDefault="00CF7E45" w:rsidP="00831A8A">
            <w:pPr>
              <w:rPr>
                <w:sz w:val="22"/>
                <w:szCs w:val="22"/>
              </w:rPr>
            </w:pPr>
          </w:p>
        </w:tc>
      </w:tr>
    </w:tbl>
    <w:p w:rsidR="00204A24" w:rsidRPr="004832B0" w:rsidRDefault="00204A24" w:rsidP="0044058D">
      <w:pPr>
        <w:rPr>
          <w:sz w:val="22"/>
          <w:szCs w:val="22"/>
        </w:rPr>
      </w:pPr>
    </w:p>
    <w:sectPr w:rsidR="00204A24" w:rsidRPr="004832B0" w:rsidSect="0044058D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1790D"/>
    <w:multiLevelType w:val="hybridMultilevel"/>
    <w:tmpl w:val="8A72CD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7DA"/>
    <w:rsid w:val="00025D44"/>
    <w:rsid w:val="00034E34"/>
    <w:rsid w:val="00050AD1"/>
    <w:rsid w:val="00071BBB"/>
    <w:rsid w:val="000830D9"/>
    <w:rsid w:val="000C036A"/>
    <w:rsid w:val="000C40A3"/>
    <w:rsid w:val="000C5E94"/>
    <w:rsid w:val="000D7E59"/>
    <w:rsid w:val="000E4484"/>
    <w:rsid w:val="00123604"/>
    <w:rsid w:val="00154BDB"/>
    <w:rsid w:val="001B07E7"/>
    <w:rsid w:val="001C0C4C"/>
    <w:rsid w:val="001C6B92"/>
    <w:rsid w:val="001F5501"/>
    <w:rsid w:val="00204A24"/>
    <w:rsid w:val="00215B8B"/>
    <w:rsid w:val="002355FF"/>
    <w:rsid w:val="00236F45"/>
    <w:rsid w:val="0029502A"/>
    <w:rsid w:val="002D0531"/>
    <w:rsid w:val="002E018A"/>
    <w:rsid w:val="00372B2F"/>
    <w:rsid w:val="003817E6"/>
    <w:rsid w:val="003E2C81"/>
    <w:rsid w:val="00425FBE"/>
    <w:rsid w:val="00426BDC"/>
    <w:rsid w:val="00435EA1"/>
    <w:rsid w:val="0044058D"/>
    <w:rsid w:val="004623E1"/>
    <w:rsid w:val="00471658"/>
    <w:rsid w:val="004832B0"/>
    <w:rsid w:val="00483345"/>
    <w:rsid w:val="004A7E42"/>
    <w:rsid w:val="004B351D"/>
    <w:rsid w:val="004C2EA2"/>
    <w:rsid w:val="00507B58"/>
    <w:rsid w:val="00535CE3"/>
    <w:rsid w:val="00555F91"/>
    <w:rsid w:val="005667DA"/>
    <w:rsid w:val="005C6ABB"/>
    <w:rsid w:val="00600101"/>
    <w:rsid w:val="00631719"/>
    <w:rsid w:val="00651DE6"/>
    <w:rsid w:val="006C4B17"/>
    <w:rsid w:val="006D114B"/>
    <w:rsid w:val="00703C61"/>
    <w:rsid w:val="00744E6E"/>
    <w:rsid w:val="007518A2"/>
    <w:rsid w:val="0077674B"/>
    <w:rsid w:val="007C6284"/>
    <w:rsid w:val="007D3FF4"/>
    <w:rsid w:val="008054F4"/>
    <w:rsid w:val="00821FDB"/>
    <w:rsid w:val="00831A8A"/>
    <w:rsid w:val="00835E54"/>
    <w:rsid w:val="0083617E"/>
    <w:rsid w:val="00836C4B"/>
    <w:rsid w:val="008918B9"/>
    <w:rsid w:val="008A58BD"/>
    <w:rsid w:val="00966D50"/>
    <w:rsid w:val="00987844"/>
    <w:rsid w:val="009A3B5F"/>
    <w:rsid w:val="009E0FA7"/>
    <w:rsid w:val="009E6296"/>
    <w:rsid w:val="00A12D55"/>
    <w:rsid w:val="00A173B5"/>
    <w:rsid w:val="00A43591"/>
    <w:rsid w:val="00A828CD"/>
    <w:rsid w:val="00A87BB6"/>
    <w:rsid w:val="00AE623E"/>
    <w:rsid w:val="00B30C08"/>
    <w:rsid w:val="00B3700E"/>
    <w:rsid w:val="00B376FE"/>
    <w:rsid w:val="00B42CE9"/>
    <w:rsid w:val="00B45252"/>
    <w:rsid w:val="00B60C81"/>
    <w:rsid w:val="00B705B3"/>
    <w:rsid w:val="00B9110D"/>
    <w:rsid w:val="00B94C2C"/>
    <w:rsid w:val="00BE4246"/>
    <w:rsid w:val="00C12E0E"/>
    <w:rsid w:val="00C50B6D"/>
    <w:rsid w:val="00C824AE"/>
    <w:rsid w:val="00C93725"/>
    <w:rsid w:val="00CB4B9E"/>
    <w:rsid w:val="00CC3F26"/>
    <w:rsid w:val="00CD484B"/>
    <w:rsid w:val="00CF7E45"/>
    <w:rsid w:val="00D068A5"/>
    <w:rsid w:val="00D55DFA"/>
    <w:rsid w:val="00D739F2"/>
    <w:rsid w:val="00DB4D20"/>
    <w:rsid w:val="00DC250C"/>
    <w:rsid w:val="00DF657B"/>
    <w:rsid w:val="00E2334F"/>
    <w:rsid w:val="00E2469E"/>
    <w:rsid w:val="00E366AD"/>
    <w:rsid w:val="00E45896"/>
    <w:rsid w:val="00E5624D"/>
    <w:rsid w:val="00E81810"/>
    <w:rsid w:val="00EB3871"/>
    <w:rsid w:val="00EF5620"/>
    <w:rsid w:val="00EF75E5"/>
    <w:rsid w:val="00F00E01"/>
    <w:rsid w:val="00F27597"/>
    <w:rsid w:val="00F97DDC"/>
    <w:rsid w:val="00FA4555"/>
    <w:rsid w:val="00FD2056"/>
    <w:rsid w:val="00FD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C170"/>
  <w15:chartTrackingRefBased/>
  <w15:docId w15:val="{4BC2C7F0-29C1-4B2A-BD36-75AB9D0E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E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23604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uiPriority w:val="99"/>
    <w:rsid w:val="00CF7E45"/>
    <w:pPr>
      <w:widowControl w:val="0"/>
      <w:adjustRightInd w:val="0"/>
      <w:jc w:val="both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CF7E45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E0F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0FA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формулировка решения"/>
    <w:basedOn w:val="a"/>
    <w:rsid w:val="00483345"/>
    <w:pPr>
      <w:widowControl w:val="0"/>
      <w:autoSpaceDE/>
      <w:autoSpaceDN/>
      <w:spacing w:before="80" w:after="80"/>
      <w:ind w:left="1418"/>
      <w:jc w:val="both"/>
    </w:pPr>
    <w:rPr>
      <w:rFonts w:ascii="Arial" w:hAnsi="Arial"/>
      <w:color w:val="000000"/>
      <w:sz w:val="24"/>
    </w:rPr>
  </w:style>
  <w:style w:type="character" w:customStyle="1" w:styleId="10">
    <w:name w:val="Заголовок 1 Знак"/>
    <w:basedOn w:val="a0"/>
    <w:link w:val="1"/>
    <w:uiPriority w:val="9"/>
    <w:rsid w:val="001236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ody Text Indent"/>
    <w:basedOn w:val="a"/>
    <w:link w:val="a8"/>
    <w:rsid w:val="00123604"/>
    <w:pPr>
      <w:autoSpaceDE/>
      <w:autoSpaceDN/>
      <w:ind w:firstLine="720"/>
    </w:pPr>
  </w:style>
  <w:style w:type="character" w:customStyle="1" w:styleId="a8">
    <w:name w:val="Основной текст с отступом Знак"/>
    <w:basedOn w:val="a0"/>
    <w:link w:val="a7"/>
    <w:rsid w:val="001236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4A1B-5621-485A-B401-0D321360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Евгения Александровна</dc:creator>
  <cp:keywords/>
  <dc:description/>
  <cp:lastModifiedBy>Нелюбина Светлана Геннадьевна</cp:lastModifiedBy>
  <cp:revision>3</cp:revision>
  <cp:lastPrinted>2025-12-22T11:43:00Z</cp:lastPrinted>
  <dcterms:created xsi:type="dcterms:W3CDTF">2025-12-18T12:13:00Z</dcterms:created>
  <dcterms:modified xsi:type="dcterms:W3CDTF">2025-12-22T11:43:00Z</dcterms:modified>
</cp:coreProperties>
</file>